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812FC7">
      <w:r w:rsidRPr="00812FC7">
        <w:t>D.5.4 Publica inventario de bienes muebles e inmuebles actualizado (por lo menos cada seis meses) en internet</w:t>
      </w:r>
    </w:p>
    <w:p w:rsidR="00812FC7" w:rsidRDefault="00812FC7"/>
    <w:p w:rsidR="00812FC7" w:rsidRDefault="00812FC7">
      <w:r>
        <w:rPr>
          <w:noProof/>
          <w:lang w:eastAsia="es-MX"/>
        </w:rPr>
        <w:drawing>
          <wp:inline distT="0" distB="0" distL="0" distR="0" wp14:anchorId="743DA8A2" wp14:editId="5F70BB1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F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1"/>
    <w:rsid w:val="007F1C43"/>
    <w:rsid w:val="00812FC7"/>
    <w:rsid w:val="008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2019-02-09T04:50:00Z</dcterms:created>
  <dcterms:modified xsi:type="dcterms:W3CDTF">2019-02-09T04:50:00Z</dcterms:modified>
</cp:coreProperties>
</file>