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3A" w:rsidRDefault="006A7A3A"/>
    <w:p w:rsidR="006A7A3A" w:rsidRDefault="006A7A3A">
      <w:r>
        <w:t>B.1.4 Clasificación funcional armonizada</w:t>
      </w:r>
      <w:bookmarkStart w:id="0" w:name="_GoBack"/>
      <w:bookmarkEnd w:id="0"/>
    </w:p>
    <w:p w:rsidR="007F1C43" w:rsidRDefault="006A7A3A">
      <w:r>
        <w:rPr>
          <w:noProof/>
          <w:lang w:eastAsia="es-MX"/>
        </w:rPr>
        <w:drawing>
          <wp:inline distT="0" distB="0" distL="0" distR="0" wp14:anchorId="40F5809F" wp14:editId="3AD297C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63"/>
    <w:rsid w:val="006A7A3A"/>
    <w:rsid w:val="007F1C43"/>
    <w:rsid w:val="00D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2019-02-09T01:46:00Z</dcterms:created>
  <dcterms:modified xsi:type="dcterms:W3CDTF">2019-02-09T01:47:00Z</dcterms:modified>
</cp:coreProperties>
</file>